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AFD" w:rsidRPr="008F0EEB" w:rsidRDefault="00DB5AFD" w:rsidP="00DB5AFD">
      <w:pPr>
        <w:keepNext/>
        <w:autoSpaceDN w:val="0"/>
        <w:spacing w:after="0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103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ДУМА</w:t>
      </w:r>
    </w:p>
    <w:p w:rsidR="00DB5AFD" w:rsidRPr="00340103" w:rsidRDefault="00DB5AFD" w:rsidP="00DB5AFD">
      <w:pPr>
        <w:keepNext/>
        <w:autoSpaceDN w:val="0"/>
        <w:spacing w:after="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103">
        <w:rPr>
          <w:rFonts w:ascii="Times New Roman" w:eastAsia="Times New Roman" w:hAnsi="Times New Roman"/>
          <w:sz w:val="26"/>
          <w:szCs w:val="26"/>
          <w:lang w:eastAsia="ru-RU"/>
        </w:rPr>
        <w:t>ФЕДЕРАЛЬНОГО СОБРАНИЯ РОССИЙСКОЙ ФЕДЕРАЦИИ</w:t>
      </w:r>
    </w:p>
    <w:p w:rsidR="00DB5AFD" w:rsidRDefault="00DB5AFD" w:rsidP="00DB5AFD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ВОС</w:t>
      </w:r>
      <w:r w:rsidRPr="00340103">
        <w:rPr>
          <w:rFonts w:ascii="Times New Roman" w:eastAsia="Times New Roman" w:hAnsi="Times New Roman"/>
          <w:sz w:val="26"/>
          <w:szCs w:val="26"/>
          <w:lang w:eastAsia="ru-RU"/>
        </w:rPr>
        <w:t>ЬМОГО СОЗЫВА</w:t>
      </w:r>
    </w:p>
    <w:p w:rsidR="00DB5AFD" w:rsidRPr="00340103" w:rsidRDefault="00DB5AFD" w:rsidP="00DB5AFD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5AFD" w:rsidRDefault="00DB5AFD" w:rsidP="00DB5AFD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C9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ЭКОЛОГИИ, ПРИРОДНЫМ РЕСУРСАМ</w:t>
      </w:r>
    </w:p>
    <w:p w:rsidR="00DB5AFD" w:rsidRPr="00C14C96" w:rsidRDefault="00DB5AFD" w:rsidP="00DB5AFD">
      <w:pPr>
        <w:autoSpaceDN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C96">
        <w:rPr>
          <w:rFonts w:ascii="Times New Roman" w:eastAsia="Times New Roman" w:hAnsi="Times New Roman"/>
          <w:sz w:val="26"/>
          <w:szCs w:val="26"/>
          <w:lang w:eastAsia="ru-RU"/>
        </w:rPr>
        <w:t>И ОХРАНЕ ОКРУЖАЮЩЕЙ СРЕДЫ</w:t>
      </w:r>
    </w:p>
    <w:p w:rsidR="00DB5AFD" w:rsidRPr="00340103" w:rsidRDefault="00DB5AFD" w:rsidP="00DB5AFD">
      <w:pPr>
        <w:keepNext/>
        <w:tabs>
          <w:tab w:val="left" w:pos="2340"/>
        </w:tabs>
        <w:autoSpaceDN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B5AFD" w:rsidRPr="00340103" w:rsidRDefault="00DB5AFD" w:rsidP="00DB5AFD">
      <w:pPr>
        <w:autoSpaceDN w:val="0"/>
        <w:spacing w:after="0"/>
        <w:ind w:right="-81"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78F008" wp14:editId="2C9D225F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66979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pt" to="527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6pTgIAAFk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3C6A95" wp14:editId="5FD1A853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697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52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+STgIAAFkEAAAOAAAAZHJzL2Uyb0RvYy54bWysVM1uEzEQviPxDtbe091NQp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" strokeweight="1pt"/>
            </w:pict>
          </mc:Fallback>
        </mc:AlternateContent>
      </w:r>
    </w:p>
    <w:p w:rsidR="00DB5AFD" w:rsidRPr="00340103" w:rsidRDefault="00DB5AFD" w:rsidP="00DB5AFD">
      <w:pPr>
        <w:suppressAutoHyphens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Государственная Дума,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Малый з</w:t>
      </w:r>
      <w:r w:rsidRPr="00340103">
        <w:rPr>
          <w:rFonts w:ascii="Times New Roman" w:eastAsia="Times New Roman" w:hAnsi="Times New Roman"/>
          <w:sz w:val="28"/>
          <w:szCs w:val="28"/>
          <w:lang w:eastAsia="ru-RU"/>
        </w:rPr>
        <w:t>ал</w:t>
      </w:r>
    </w:p>
    <w:p w:rsidR="00DB5AFD" w:rsidRPr="00340103" w:rsidRDefault="00DB5AFD" w:rsidP="00DB5AFD">
      <w:pPr>
        <w:widowControl w:val="0"/>
        <w:suppressAutoHyphens/>
        <w:autoSpaceDN w:val="0"/>
        <w:spacing w:after="0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B5AFD" w:rsidRPr="00340103" w:rsidRDefault="00DB5AFD" w:rsidP="00DB5AFD">
      <w:pPr>
        <w:widowControl w:val="0"/>
        <w:suppressAutoHyphens/>
        <w:autoSpaceDN w:val="0"/>
        <w:spacing w:after="0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40103">
        <w:rPr>
          <w:rFonts w:ascii="Times New Roman" w:eastAsia="Times New Roman" w:hAnsi="Times New Roman"/>
          <w:b/>
          <w:sz w:val="32"/>
          <w:szCs w:val="32"/>
          <w:lang w:eastAsia="ru-RU"/>
        </w:rPr>
        <w:t>Р Е К О М Е Н Д А Ц И И</w:t>
      </w:r>
    </w:p>
    <w:p w:rsidR="00DB5AFD" w:rsidRPr="00340103" w:rsidRDefault="00DB5AFD" w:rsidP="00DB5A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B5AFD" w:rsidRPr="00373F57" w:rsidRDefault="00DB5AFD" w:rsidP="00DB5AF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44408">
        <w:rPr>
          <w:rFonts w:ascii="Times New Roman" w:hAnsi="Times New Roman"/>
          <w:sz w:val="28"/>
          <w:szCs w:val="28"/>
        </w:rPr>
        <w:t>парламентск</w:t>
      </w:r>
      <w:r>
        <w:rPr>
          <w:rFonts w:ascii="Times New Roman" w:hAnsi="Times New Roman"/>
          <w:sz w:val="28"/>
          <w:szCs w:val="28"/>
        </w:rPr>
        <w:t>их</w:t>
      </w:r>
      <w:r w:rsidRPr="00B44408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B44408">
        <w:rPr>
          <w:rFonts w:ascii="Times New Roman" w:hAnsi="Times New Roman"/>
          <w:sz w:val="28"/>
          <w:szCs w:val="28"/>
        </w:rPr>
        <w:t xml:space="preserve">на тему: </w:t>
      </w:r>
      <w:r w:rsidRPr="00B44408">
        <w:rPr>
          <w:rFonts w:ascii="Times New Roman" w:hAnsi="Times New Roman"/>
          <w:b/>
          <w:sz w:val="28"/>
          <w:szCs w:val="28"/>
        </w:rPr>
        <w:t>«Актуальные вопросы сохранения и восстановления водных объектов и их экосистем»</w:t>
      </w:r>
    </w:p>
    <w:p w:rsidR="00DB5AFD" w:rsidRPr="00340103" w:rsidRDefault="00DB5AFD" w:rsidP="00DB5A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5AFD" w:rsidRDefault="00DB5AFD" w:rsidP="00DB5AFD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103">
        <w:rPr>
          <w:rFonts w:ascii="Times New Roman" w:hAnsi="Times New Roman"/>
          <w:sz w:val="28"/>
          <w:szCs w:val="28"/>
        </w:rPr>
        <w:t>Проведя с участием депутатов Государственной Думы</w:t>
      </w:r>
      <w:r>
        <w:rPr>
          <w:rFonts w:ascii="Times New Roman" w:hAnsi="Times New Roman"/>
          <w:sz w:val="28"/>
          <w:szCs w:val="28"/>
        </w:rPr>
        <w:t>,</w:t>
      </w:r>
      <w:r w:rsidRPr="00340103">
        <w:rPr>
          <w:rFonts w:ascii="Times New Roman" w:hAnsi="Times New Roman"/>
          <w:sz w:val="28"/>
          <w:szCs w:val="28"/>
        </w:rPr>
        <w:t xml:space="preserve"> представителей федеральных органов исполнительной власти, законодательных (представительных) и исполнительных органов власти субъектов Российской Федерации, коммерческих и некоммерческих организаций, научного сообщества обсуждение </w:t>
      </w:r>
      <w:r>
        <w:rPr>
          <w:rFonts w:ascii="Times New Roman" w:hAnsi="Times New Roman"/>
          <w:sz w:val="28"/>
          <w:szCs w:val="28"/>
        </w:rPr>
        <w:t>актуальных вопросов сохранения и восстановления водных объектов и их экосистем</w:t>
      </w:r>
      <w:r w:rsidRPr="00C14C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103">
        <w:rPr>
          <w:rFonts w:ascii="Times New Roman" w:hAnsi="Times New Roman"/>
          <w:sz w:val="28"/>
          <w:szCs w:val="28"/>
        </w:rPr>
        <w:t xml:space="preserve">участники </w:t>
      </w:r>
      <w:r w:rsidR="00DD521B">
        <w:rPr>
          <w:rFonts w:ascii="Times New Roman" w:hAnsi="Times New Roman"/>
          <w:sz w:val="28"/>
          <w:szCs w:val="28"/>
        </w:rPr>
        <w:t>парламентских слушаний</w:t>
      </w:r>
      <w:r w:rsidRPr="00340103">
        <w:rPr>
          <w:rFonts w:ascii="Times New Roman" w:hAnsi="Times New Roman"/>
          <w:sz w:val="28"/>
          <w:szCs w:val="28"/>
        </w:rPr>
        <w:t xml:space="preserve"> отмечают следующее.</w:t>
      </w:r>
    </w:p>
    <w:p w:rsid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01C">
        <w:rPr>
          <w:rFonts w:ascii="Times New Roman" w:hAnsi="Times New Roman"/>
          <w:sz w:val="28"/>
          <w:szCs w:val="28"/>
        </w:rPr>
        <w:t>В эпоху глобализации и мирового промышленного подъема вопросы экологической безопасности, правовой охраны водных объектов и в целом охраны окружающей среды приобретают все большую значимость и актуальность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44701C" w:rsidRP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01C">
        <w:rPr>
          <w:rFonts w:ascii="Times New Roman" w:hAnsi="Times New Roman"/>
          <w:sz w:val="28"/>
          <w:szCs w:val="28"/>
        </w:rPr>
        <w:t xml:space="preserve">Россия занимает второе место в мире по запасам пресной воды после Бразилии. Это одно из наших ключевых преимуществ, влияющее на развитие сельского хозяйства, энергетики, судоходства, промышленности, </w:t>
      </w:r>
      <w:r w:rsidR="00DD521B">
        <w:rPr>
          <w:rFonts w:ascii="Times New Roman" w:hAnsi="Times New Roman"/>
          <w:sz w:val="28"/>
          <w:szCs w:val="28"/>
        </w:rPr>
        <w:t>качество</w:t>
      </w:r>
      <w:r w:rsidRPr="0044701C">
        <w:rPr>
          <w:rFonts w:ascii="Times New Roman" w:hAnsi="Times New Roman"/>
          <w:sz w:val="28"/>
          <w:szCs w:val="28"/>
        </w:rPr>
        <w:t xml:space="preserve"> жизни граждан. </w:t>
      </w:r>
    </w:p>
    <w:p w:rsidR="0044701C" w:rsidRP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01C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Pr="0044701C">
        <w:rPr>
          <w:rFonts w:ascii="Times New Roman" w:hAnsi="Times New Roman"/>
          <w:sz w:val="28"/>
          <w:szCs w:val="28"/>
        </w:rPr>
        <w:t xml:space="preserve"> водные объекты распределены по территории нашей страны неравномерно. Девять регионов являются вододефицитными, а 19 сталкиваются с постоянным неблагоприятным воздействием вод. Наибольшее количество проблем н</w:t>
      </w:r>
      <w:r>
        <w:rPr>
          <w:rFonts w:ascii="Times New Roman" w:hAnsi="Times New Roman"/>
          <w:sz w:val="28"/>
          <w:szCs w:val="28"/>
        </w:rPr>
        <w:t>еобходим</w:t>
      </w:r>
      <w:r w:rsidRPr="0044701C">
        <w:rPr>
          <w:rFonts w:ascii="Times New Roman" w:hAnsi="Times New Roman"/>
          <w:sz w:val="28"/>
          <w:szCs w:val="28"/>
        </w:rPr>
        <w:t>о решать там, где водные объекты испытывают высокую антропогенную нагрузку.</w:t>
      </w:r>
    </w:p>
    <w:p w:rsidR="0044701C" w:rsidRP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01C">
        <w:rPr>
          <w:rFonts w:ascii="Times New Roman" w:hAnsi="Times New Roman"/>
          <w:sz w:val="28"/>
          <w:szCs w:val="28"/>
        </w:rPr>
        <w:t>На гидрохимический режим вод влияют не только природные факторы, в частности климат, геологическое и геоморфологическое строение территории, почвы и растительность, но и в большей степени сброс в водные объекты значительного количества неочищенных и загрязненных сточных вод многочисленными предприятиями, осуществляющими свою деятельн</w:t>
      </w:r>
      <w:r w:rsidR="00922DA8">
        <w:rPr>
          <w:rFonts w:ascii="Times New Roman" w:hAnsi="Times New Roman"/>
          <w:sz w:val="28"/>
          <w:szCs w:val="28"/>
        </w:rPr>
        <w:t>ость по различным направлениям, объекты наколенного вреда, свалки.</w:t>
      </w:r>
    </w:p>
    <w:p w:rsidR="0044701C" w:rsidRP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701C">
        <w:rPr>
          <w:rFonts w:ascii="Times New Roman" w:hAnsi="Times New Roman"/>
          <w:sz w:val="28"/>
          <w:szCs w:val="28"/>
        </w:rPr>
        <w:t xml:space="preserve">Из анализа информации, содержащейся в Государственных докладах о состоянии и использовании водных ресурсов Российской Федерации, следует, что, с одной стороны, происходит уменьшение объема отводимых сточных вод и сброса загрязняющих веществ, содержащихся в этих водах, с другой - по большинству речных бассейнов состояние качества воды остается неудовлетворительным и по-прежнему не отвечает нормативным требованиям. </w:t>
      </w:r>
    </w:p>
    <w:p w:rsidR="00DB5AFD" w:rsidRPr="0044701C" w:rsidRDefault="0044701C" w:rsidP="0044701C">
      <w:pPr>
        <w:pStyle w:val="a3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4701C">
        <w:rPr>
          <w:rFonts w:ascii="Times New Roman" w:hAnsi="Times New Roman"/>
          <w:sz w:val="28"/>
          <w:szCs w:val="28"/>
        </w:rPr>
        <w:t>тот эффект вызван воздействием множества неконтролируемых (рассредоточенных) источников загрязнения, а также источников вторичных (накопленных) загрязнений.</w:t>
      </w:r>
    </w:p>
    <w:p w:rsidR="0044701C" w:rsidRDefault="0044701C" w:rsidP="00447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Согласно обобщенным данным федерального статистического наблюдения об использовании воды в Российской Федерации, </w:t>
      </w: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поверхностные водные объекты Российской Федерации сброшено 35539,78 млн.куб.м сточных вод, из которых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14539,52 млн.куб.м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очистки. </w:t>
      </w:r>
    </w:p>
    <w:p w:rsidR="0044701C" w:rsidRPr="00491BB7" w:rsidRDefault="0044701C" w:rsidP="00447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за 2021 год 80% (11579,75 млн.куб.м) сточных вод, требующих очистки, сбрасываются загрязненными, в том числе недостаточно очищенными – 9593,37 млн.куб.м, без очистки – 1986,38 млн.куб.м., 20 % (2959,77 млн.куб.м) – очищенными до установленных нормативов. </w:t>
      </w:r>
    </w:p>
    <w:p w:rsidR="0044701C" w:rsidRPr="00491BB7" w:rsidRDefault="0044701C" w:rsidP="0044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распределения сброса сточных вод по отраслям можно отметить следующее.</w:t>
      </w:r>
    </w:p>
    <w:p w:rsidR="0044701C" w:rsidRDefault="0044701C" w:rsidP="00A508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по объему сброса загрязненных сточных вод находятся предприятия жилищно-коммунального хозяйства - 67%. Второе место у предприятий промышл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26%. На се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хозяйство приходится 5 %, </w:t>
      </w:r>
      <w:r w:rsidRPr="004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 – 2%.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Президента Российской Федерации реализуется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«Экология»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 основным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«Вода»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«Воздух», «Биоразнообразие», «Отходы», «Лес»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объединяет все направления экологии, ведь без нее невозможно ни комфортное обустройство рекреационных зон, ни повышение биоразнообразия, ни рост лесных массивов.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водными ресурсами посвящена треть всех проектов, входящих в нацпроект «Экология». Для повышения качества водных объектов Министерством природных ресурсов и экологии России разработаны и успешно реализуются федеральные проекты «Оздоровление Волги», «Сохранение уникальных водных объектов» и «Сохранение озера Байкал». </w:t>
      </w:r>
    </w:p>
    <w:p w:rsidR="00A50873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направлены на модернизацию и строительство современных комплексов очистных сооружений, улучшение состояния водных объектов, восстановление потенциала рек к самоочищению, создание благоприятных условий для комфортного проживания населения, рекреации и воспроизводства биоразнообразия.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2,5 миллиона российских рек Волга испытывает самую большую нагрузку.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берегам Волги и ее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притоков проживает </w:t>
      </w:r>
      <w:r w:rsidR="00922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миллионов человек – треть населения нашей страны. Волгой пользуется 45 процентов нашего промышленного потенциала, 50 процентов сельскохозяйственных предприятий. На Волжский бассейн, кроме того, приходится почти половина всего объема использования свежей воды для питьевых и хозяйственно-бытовых нужд. </w:t>
      </w:r>
    </w:p>
    <w:p w:rsidR="00663302" w:rsidRPr="00A50873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загрязнителями для Волги являются предприятия ЖКХ, это больше 83 процентов.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следуют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промышленные предприятия и агропром.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ключевых задач федерального проекта «Оздоровление Волги»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в 3 раза объема отводимых в реку загрязненных сточных вод. Сегодня введено в эксплуатацию 93 очистных сооружений ЖКХ в 15 субъектах, что позволило снизить почти в 1,5 раза объем загрязненных сточных вод. 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реализация мероприятий ведется также и по другим направлениям. В 2022 году введено в эксплуатацию 24 водопропускных сооружений для улучшения водообмена в низовьях Волги на территории Волгоградской области, завершена реализация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 по экологической реабилитации в Волгоградской области (восстановлено 261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га), в Астраха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расчищено 58,8 км. Р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асчищено 247 км каналов-рыбоходов, водопроводящих и сбросных каналов нерестовых массивов восточной дельты реки Волги и удалена излишняя водная растительность на нерестовых массивах на площади 4,02 тыс га. 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и протяженность восставленных водных объектов Нижней Волги к концу 2022 года составила 20,96 тыс га и 1085,5 км соответственно.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Минсельхоза России в 2022 году завершена реализация всех предусмотренных проектом мероприятий: получены разрешения на ввод в эксплуатацию 6 реконструированных гидротехнических сооружений государственной мелиоративной сети, в 2021 году осуществлена расчистка 186,1 км мелиоративных каналов. Это позволило повысить водообеспеченность населения и хозяйств Волгоградской и Астраханской областей на площади 19,1 тыс. га, а также создать условия для ведения сельского хозяйства в зоне западных подстепных ильменей.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накопленного вреда окружающей среде оказывают крайне негативное влияние на природу. В 2022 году велись работы по ликвидации 10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представляющих угрозу реке Волга, на территории 6 субъектов Российской Федерации. В 2023 году запланировано завершение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мероприятий на территории Тверской, Ульяновской областей, Республик Чувашия и Татарстан.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территории 14 субъектов Российской Федерации осуществляется работа по строительству и реконс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 41 очистного сооружения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302" w:rsidRDefault="00DD521B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r w:rsid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302" w:rsidRPr="00176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63302" w:rsidRPr="0017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 контрольных (надзорных) мероприятий, выявлено 16 фактов несанкционированного сброса 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вод реку Волга и ее притоки.</w:t>
      </w:r>
      <w:r w:rsidR="00663302" w:rsidRPr="0017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3302" w:rsidRPr="00176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роверено 40 хозяйствующих субъектов, наложено штрафов на сумму 5.8 млн. рублей, рассчитано и предъявлено вреда, причиненного водным объектам на сумму более 50 млн.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663302" w:rsidRPr="00176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«Сохранение уникальных водных объектов» реализуются мероприятия по расчистке водных объектов от донных отложений, загрязнений, благоустройству прилегающих территорий.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завершено 19 мероприятий по расчистке участков русел рек в 14 субъектах Российской Федерации, протяжённостью 159,46 км. Также завершено 35 мероприятий по расчистке озер и водохранилищ от древесного хлама и плавающего мусора (восстановлено 4,39 тыс га).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и протяженность восставленных водных объектов к концу 2022 года составила 17,219 тыс. га и 352,51 км соответственно.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реализации комплекса мероприятий по расчистке и восстановлению рек, озер и водохранилищ в 2022 году экологические условия проживания вблизи водных объектов улучшило 12,5561 млн. человек (с учетом значения в 2021 году – 9,9812 млн. человек).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особенностей этого проекта в том, что в успех его реализации самый непосредственный вклад вносят граждане нашей страны. В 2022 году на территории Российской Федерации проведено 21 958 мероприятий по очистке от мусора берегов водных объектов, участие в которых приняли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1,3 млн</w:t>
      </w: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3302" w:rsidRPr="00663302" w:rsidRDefault="00663302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«Сохранение уникальных водных объектов» к концу 2022 года введено в эксплуатацию 4 объекта инфраструктуры, направленных на снижение негативного воздействия на Телецкое озеро (завершено строительство очистных сооружений и водопроводной сети, водонапорных башен и скважин в с. Иогач и с. Артыбаш).</w:t>
      </w:r>
    </w:p>
    <w:p w:rsidR="00663302" w:rsidRDefault="00DD521B" w:rsidP="006633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3302" w:rsidRPr="0066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2023 года планируется расчистить 412,86 км и восстановить 17,3 тыс. га водных объектов, что позволит улучшить экологические условия проживания вблизи водных объектов для 13,761 млн. человек (нарастающим итогом с начала реализации проекта).</w:t>
      </w:r>
    </w:p>
    <w:p w:rsidR="008858CC" w:rsidRPr="008858CC" w:rsidRDefault="008858CC" w:rsidP="00DD52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особо охраняемых природных территориях, расположенных в Центральной экологической зоне Байкальской природной территории завершена ликвидация 8 свалок общей площадью 28,9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Начаты работы по ликвидации несанкционированной свалки коммунальных отходов, расположенной в местности село Талое Тункинского района в границах национального парка «Тункинский» общей площадью 15,9 га. На конец 2022 года очищено более 5 га загрязненных территорий.</w:t>
      </w:r>
    </w:p>
    <w:p w:rsidR="008858CC" w:rsidRPr="008858CC" w:rsidRDefault="008858CC" w:rsidP="00885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безопасного состояния объектов и предупреждения угрозы загрязнения и недопущения перелива надшламовых вод в картах-накопителях полигонов «Солзанский» и «Бабхинский» ОАО «БЦБК» в 2022 году проведены работы по понижению уровня надшламовых вод в объеме не менее 70 тыс. куб. метров.</w:t>
      </w:r>
    </w:p>
    <w:p w:rsidR="008858CC" w:rsidRPr="008858CC" w:rsidRDefault="008858CC" w:rsidP="00885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увеличению запасов водных биологических ресурсов Росрыболовством в 2022 году выпущено 338,88 млн шт водных биологических ресурсов в озеро Байкал.</w:t>
      </w:r>
    </w:p>
    <w:p w:rsidR="003807BC" w:rsidRPr="003807BC" w:rsidRDefault="003807BC" w:rsidP="003807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реализуемых водных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и на риски, связанные с глобальным изменением климата. Такие изменения уже сейчас приводят к снижению уровня подземных вод. Указанная тенденция отмечается во всем мире и затронула южные регионы нашей страны. Поэтому важно не только проводить работу по очистке сточных вод, предупреждать загрязнение поверхностных водных объектов, но и обеспечить защиту подземных вод.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необходима полная систематизированная информация обо всех источниках питьевого водоснабжения: как наземных, так и подземных. </w:t>
      </w:r>
    </w:p>
    <w:p w:rsidR="003807BC" w:rsidRPr="003807BC" w:rsidRDefault="003807BC" w:rsidP="003807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это год завершения реализации национального проекта «Экология». Но для достижения национальных целей развития к 2030 году нужно продолжать экологические мероприятия, в том числе связанные с оздоровлением водных объектов. </w:t>
      </w:r>
    </w:p>
    <w:p w:rsidR="003807BC" w:rsidRPr="003807BC" w:rsidRDefault="003807BC" w:rsidP="003807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поручению Президента Российской Федерации В.В.Путина</w:t>
      </w:r>
      <w:r w:rsidRP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приступило к созданию единого федерального проекта по экологическому оздоровлению крупных водных артерий России. </w:t>
      </w:r>
    </w:p>
    <w:p w:rsidR="00663302" w:rsidRPr="00DD521B" w:rsidRDefault="003807BC" w:rsidP="003807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нового федерального проекта запланирован в 2025 году. Его мероприятия охватят больше водных объектов и улучшат качество жизни не менее 80 миллионов человек.</w:t>
      </w:r>
    </w:p>
    <w:p w:rsidR="00D33237" w:rsidRPr="00DD521B" w:rsidRDefault="00D33237" w:rsidP="00292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предлагаемый комплекс мер по </w:t>
      </w:r>
      <w:r w:rsidRPr="00DD521B">
        <w:rPr>
          <w:rFonts w:ascii="Times New Roman" w:hAnsi="Times New Roman" w:cs="Times New Roman"/>
          <w:sz w:val="28"/>
          <w:szCs w:val="28"/>
        </w:rPr>
        <w:t>сохранению и восстановлению водных объектов и их экосистем необходимо доработать по следующим направлениям.</w:t>
      </w:r>
    </w:p>
    <w:p w:rsidR="004F73E8" w:rsidRPr="00DD521B" w:rsidRDefault="004F73E8" w:rsidP="00292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21B">
        <w:rPr>
          <w:rFonts w:ascii="Times New Roman" w:hAnsi="Times New Roman" w:cs="Times New Roman"/>
          <w:sz w:val="28"/>
          <w:szCs w:val="28"/>
        </w:rPr>
        <w:t>Технологические подходы, реализуемые в ходе национального проекта «Экология», основаны на опыте прошлого века и значительно устарели. Снижение сбросов неочищенных вод может достигаться не только модернизацией очистных сооружений, но и обеспечением замкнутого цикла использования воды, как это делается в промышленности. Этот метод снижает нагрузку на водные объекты и сокращает изъятие воды для нужд промышленности и населения, при этом значительно снижаются затраты на водоподготовку и приведение очищенной воды в рыбохозяйственные параметры.</w:t>
      </w:r>
    </w:p>
    <w:p w:rsidR="00D33237" w:rsidRPr="00DD521B" w:rsidRDefault="00111B07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расширить географию действующей программы по подъему затонувших судов на все водные объекты наше страны.</w:t>
      </w:r>
    </w:p>
    <w:p w:rsidR="0029223C" w:rsidRPr="00DD521B" w:rsidRDefault="0029223C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особое беспокойство состояние прибрежных защитных лесных полос, сформированных в 40-50-60 годы прошлого века</w:t>
      </w:r>
      <w:r w:rsidR="004F73E8"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них деградируют, нанося ущерб околоводным экосистемам. Должной эксплуатации таких лесных систем не осуществляется, они становятся бесхозяйными. Органы местного самоуправления, на подведомственных территориях которых эти полосы расположены не в состоянии поддерживать их на необходимом уровне, осуществляя регламентные лесотехнические мероприятия. Органы лесозащиты не считают такие леса предметом своего контроля.</w:t>
      </w:r>
    </w:p>
    <w:p w:rsidR="0029223C" w:rsidRPr="00DD521B" w:rsidRDefault="0029223C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эти полосы инициируют берегоразрушительные процессы через оголяющиеся корневые системы. Происходит дополнительное загрязнение водной акватории грунтовыми компонентами.</w:t>
      </w:r>
    </w:p>
    <w:p w:rsidR="0029223C" w:rsidRPr="00DD521B" w:rsidRDefault="0029223C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 с такими бесхозными лесными системами выглядят неопрятными, заброшенными, хотя рекреационный и иной потенциал таких приречных территорий весьма велик.</w:t>
      </w:r>
    </w:p>
    <w:p w:rsidR="004F73E8" w:rsidRPr="00DD521B" w:rsidRDefault="004F73E8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экосистем водных ресурсов без восстановления экосистем на берегах рек и озер, может носить только временный характер. Без восстановления леса, заливных лугов и граничных нерестовых зон, там где это возможно все экосистемы будут носить искусственный характер и будут требовать средств на поддержание устойчивости.</w:t>
      </w:r>
    </w:p>
    <w:p w:rsidR="0029223C" w:rsidRDefault="0029223C" w:rsidP="002922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принятие срочных мер по нормализации ситуации.</w:t>
      </w:r>
    </w:p>
    <w:p w:rsidR="00C15077" w:rsidRPr="00C15077" w:rsidRDefault="00C15077" w:rsidP="00C150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C1507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Чрезвычайно актуальным вопросом является проблема подъёма затонувших судов. При обсуждении проекта федерального бюджета на 2023-2025 годы в рамках оптимизации произошло секвестирование финансирования по данному направлению и было принято решение о включении данного вопроса в новый рассматриваемый проект.</w:t>
      </w:r>
    </w:p>
    <w:p w:rsidR="00C15077" w:rsidRPr="00C15077" w:rsidRDefault="00C15077" w:rsidP="00C150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7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Вместе с тем, пока в отсутствие федерального финансирования необходимо проработать возможности привлечения внебюджетных источников финансирования подъёма затонувших судов и сдачи их на металлолом. В этой связи требуется разработка экономической модели такого решения с точки зрения окупаемости.</w:t>
      </w:r>
    </w:p>
    <w:p w:rsidR="0084541D" w:rsidRPr="0084541D" w:rsidRDefault="0084541D" w:rsidP="008454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4541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соответствии с Федеральным законом от 30.12.2021 № 446-ФЗ «О внесении изменений в Федеральный закон «Об охране окружающей среды» и отдельные законодательные акты Российской Федерации» установлено, что средства от экологических платежей, зачисленные в федеральный бюджет, направляются на выявление, оценку и ликвидацию накопленного вреда окружающей среде или иные природоохранные мероприятия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Федерации, на территории которых причинен вред водным объектам.</w:t>
      </w:r>
    </w:p>
    <w:p w:rsidR="0084541D" w:rsidRPr="00DD521B" w:rsidRDefault="0084541D" w:rsidP="008454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1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При этом участники мероприятия обратили внимание на существующие риски того, что указанные средства могут быть использованы не только на восстановление водных объектов, но и на иные приоритетные, по мнению Правительства Российской Федерации, природоохранные задачи.</w:t>
      </w:r>
    </w:p>
    <w:p w:rsidR="00AF3DC7" w:rsidRPr="00DD521B" w:rsidRDefault="00DD521B" w:rsidP="00AF3D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3DC7"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тратегия экологической безопасности относит трансграничные загрязнения к числу внешних угроз экологической безопасности и указывает на необходимость реализации мероприятий по ограничению трансграничного переноса загрязняющих веществ. </w:t>
      </w:r>
    </w:p>
    <w:p w:rsidR="00AF3DC7" w:rsidRPr="00DD521B" w:rsidRDefault="00DD521B" w:rsidP="00AF3D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Счетной палаты, р</w:t>
      </w:r>
      <w:r w:rsidR="00AF3DC7"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трансграничного сотрудничества в этой части недостаточно эффективно. Взаимодействие по вопросам возмещения ущерба от загрязнения трансграничных вод, а также совместного мониторинга качества трансграничных водных объектов в двустороннем формате с Польшей, Грузией, КНДР, Латвией и Литвой не осуществляется. </w:t>
      </w:r>
    </w:p>
    <w:p w:rsidR="00AF3DC7" w:rsidRPr="00DD521B" w:rsidRDefault="00AF3DC7" w:rsidP="00AF3D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из девяти межправительственных соглашений (с правительствами КНР, Монголии, Азербайджанской Республики) возмещение ущерба, причиненного трансграничным воздействием, не предусмотрено.</w:t>
      </w:r>
    </w:p>
    <w:p w:rsidR="00AF3DC7" w:rsidRPr="00DD521B" w:rsidRDefault="00AF3DC7" w:rsidP="00AF3D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действующие в настоящее время международные соглашения в большинстве случаев не предусматривают механизмов возмещения ущерба, нанесенного трансграничным воздействием на водные объекты, что может создавать риски в обеспечении интересов страны в сфере экологии.</w:t>
      </w:r>
    </w:p>
    <w:p w:rsidR="00AF3DC7" w:rsidRPr="00DD521B" w:rsidRDefault="00AF3DC7" w:rsidP="00AF3D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заключены межправительственные соглашения в области мониторинга и снижения трансграничного загрязнения вод с пятью сопредельными с Россией государствами.</w:t>
      </w:r>
    </w:p>
    <w:p w:rsidR="00DB5AFD" w:rsidRDefault="00DB5AFD" w:rsidP="00DB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1B">
        <w:rPr>
          <w:rFonts w:ascii="Times New Roman" w:hAnsi="Times New Roman" w:cs="Times New Roman"/>
          <w:sz w:val="28"/>
          <w:szCs w:val="28"/>
        </w:rPr>
        <w:t>Принимая во внимание вышеизложенное, подчеркивая принципиальную важность совершенствования законодательного</w:t>
      </w:r>
      <w:r w:rsidRPr="0076242D">
        <w:rPr>
          <w:rFonts w:ascii="Times New Roman" w:hAnsi="Times New Roman" w:cs="Times New Roman"/>
          <w:sz w:val="28"/>
          <w:szCs w:val="28"/>
        </w:rPr>
        <w:t xml:space="preserve"> регулирования вопросов, связанных с </w:t>
      </w:r>
      <w:r>
        <w:rPr>
          <w:rFonts w:ascii="Times New Roman" w:hAnsi="Times New Roman" w:cs="Times New Roman"/>
          <w:sz w:val="28"/>
          <w:szCs w:val="28"/>
        </w:rPr>
        <w:t>сохранением и восстановлением водных объектов и их экосистем, считаем целесообразным предусмотреть следующие рекомендации:</w:t>
      </w:r>
    </w:p>
    <w:p w:rsidR="00922DA8" w:rsidRDefault="00922DA8" w:rsidP="00DB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FD" w:rsidRPr="0076242D" w:rsidRDefault="00DB5AFD" w:rsidP="00DB5AFD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76242D">
        <w:rPr>
          <w:b/>
          <w:sz w:val="28"/>
          <w:szCs w:val="28"/>
        </w:rPr>
        <w:t>Правительству Российской Федерации</w:t>
      </w:r>
      <w:r w:rsidR="003807BC">
        <w:rPr>
          <w:b/>
          <w:sz w:val="28"/>
          <w:szCs w:val="28"/>
        </w:rPr>
        <w:t xml:space="preserve">, </w:t>
      </w:r>
      <w:r w:rsidR="00DD521B">
        <w:rPr>
          <w:b/>
          <w:sz w:val="28"/>
          <w:szCs w:val="28"/>
        </w:rPr>
        <w:t>Минприроды России</w:t>
      </w:r>
      <w:r w:rsidRPr="0076242D">
        <w:rPr>
          <w:b/>
          <w:sz w:val="28"/>
          <w:szCs w:val="28"/>
        </w:rPr>
        <w:t>:</w:t>
      </w:r>
    </w:p>
    <w:p w:rsidR="00DB5AFD" w:rsidRPr="00DD521B" w:rsidRDefault="00AF3DC7" w:rsidP="003807BC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922DA8">
        <w:rPr>
          <w:sz w:val="28"/>
          <w:szCs w:val="28"/>
        </w:rPr>
        <w:t xml:space="preserve">ри подготовке нового </w:t>
      </w:r>
      <w:r w:rsidR="00922DA8" w:rsidRPr="003807BC">
        <w:rPr>
          <w:sz w:val="28"/>
          <w:szCs w:val="28"/>
        </w:rPr>
        <w:t xml:space="preserve">федерального проекта по экологическому </w:t>
      </w:r>
      <w:r w:rsidR="00922DA8" w:rsidRPr="00DD521B">
        <w:rPr>
          <w:sz w:val="28"/>
          <w:szCs w:val="28"/>
        </w:rPr>
        <w:t>оздоровлению водных объектов учесть предложения регионов и научного сообщества</w:t>
      </w:r>
      <w:r w:rsidRPr="00DD521B">
        <w:rPr>
          <w:sz w:val="28"/>
          <w:szCs w:val="28"/>
        </w:rPr>
        <w:t>;</w:t>
      </w:r>
    </w:p>
    <w:p w:rsidR="00922DA8" w:rsidRPr="00DD521B" w:rsidRDefault="00AF3DC7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sz w:val="28"/>
          <w:szCs w:val="28"/>
        </w:rPr>
        <w:t>- проработать вопрос по заключению межправительственных соглашений по вопросам мониторинга качества трансграничных вод и снижения их загрязнения, возмещения причиненного ущерба;</w:t>
      </w:r>
    </w:p>
    <w:p w:rsidR="00D33237" w:rsidRPr="00DD521B" w:rsidRDefault="00D33237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sz w:val="28"/>
          <w:szCs w:val="28"/>
        </w:rPr>
        <w:t>- проработать вопрос усиления ответственности за загрязнение водных объектов продуктами нефтедобычи, а также при осуществлении добычи золота;</w:t>
      </w:r>
    </w:p>
    <w:p w:rsidR="004F73E8" w:rsidRPr="00DD521B" w:rsidRDefault="004F73E8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sz w:val="28"/>
          <w:szCs w:val="28"/>
        </w:rPr>
        <w:t>- принять меры по созданию отечественных систем автоматического контроля выбросов, сбросов загрязняющих веществ;</w:t>
      </w:r>
    </w:p>
    <w:p w:rsidR="004F73E8" w:rsidRPr="00DD521B" w:rsidRDefault="004F73E8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sz w:val="28"/>
          <w:szCs w:val="28"/>
        </w:rPr>
        <w:t>- создать инфраструктуру достоверных измерений в области производственного экологического контроля;</w:t>
      </w:r>
    </w:p>
    <w:p w:rsidR="004F73E8" w:rsidRDefault="00DD521B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sz w:val="28"/>
          <w:szCs w:val="28"/>
        </w:rPr>
        <w:t>- р</w:t>
      </w:r>
      <w:r w:rsidR="004F73E8" w:rsidRPr="00DD521B">
        <w:rPr>
          <w:sz w:val="28"/>
          <w:szCs w:val="28"/>
        </w:rPr>
        <w:t>азработать комплекс мер государственной поддержки отечественных производителей систем автоматическ</w:t>
      </w:r>
      <w:r w:rsidR="0084541D">
        <w:rPr>
          <w:sz w:val="28"/>
          <w:szCs w:val="28"/>
        </w:rPr>
        <w:t>ого контроля выбросов и сбросов;</w:t>
      </w:r>
    </w:p>
    <w:p w:rsidR="0053500D" w:rsidRDefault="0053500D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3500D">
        <w:rPr>
          <w:sz w:val="28"/>
          <w:szCs w:val="28"/>
          <w:highlight w:val="cyan"/>
        </w:rPr>
        <w:t>- разработать комплекс мер по решению проблем вододефицитных регионов с привлечением водохозяйственной науки;</w:t>
      </w:r>
      <w:r>
        <w:rPr>
          <w:sz w:val="28"/>
          <w:szCs w:val="28"/>
        </w:rPr>
        <w:t xml:space="preserve"> </w:t>
      </w:r>
    </w:p>
    <w:p w:rsidR="0084541D" w:rsidRDefault="0084541D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4541D">
        <w:rPr>
          <w:sz w:val="28"/>
          <w:szCs w:val="28"/>
          <w:highlight w:val="cyan"/>
        </w:rPr>
        <w:t>- при распределении поступающих средств от экологических платежей, в том числе платежей по искам о возмещении вреда, причиненного находящимся в федеральной собственности водным объектам, учитывать необходимость восстановления  указанных водных объектов</w:t>
      </w:r>
      <w:r w:rsidR="00C15077">
        <w:rPr>
          <w:sz w:val="28"/>
          <w:szCs w:val="28"/>
        </w:rPr>
        <w:t>;</w:t>
      </w:r>
    </w:p>
    <w:p w:rsidR="00C15077" w:rsidRPr="0053500D" w:rsidRDefault="00C15077" w:rsidP="00AF3DC7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  <w:highlight w:val="cyan"/>
        </w:rPr>
      </w:pPr>
      <w:r w:rsidRPr="0053500D">
        <w:rPr>
          <w:sz w:val="28"/>
          <w:szCs w:val="28"/>
          <w:highlight w:val="cyan"/>
        </w:rPr>
        <w:t>- при подготовке нового федерального проекта по экологическому оздоровлению водных объектов предусмотреть мероприятия по подъему затонувших судов в акваториях внутренних водных объектов, а также проработать вопрос привлечения внебюджетных источников финансирования указанных мер</w:t>
      </w:r>
      <w:r w:rsidR="0053500D" w:rsidRPr="0053500D">
        <w:rPr>
          <w:sz w:val="28"/>
          <w:szCs w:val="28"/>
          <w:highlight w:val="cyan"/>
        </w:rPr>
        <w:t>оприятий;</w:t>
      </w:r>
    </w:p>
    <w:p w:rsidR="0053500D" w:rsidRPr="00475F09" w:rsidRDefault="0053500D" w:rsidP="0053500D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3500D">
        <w:rPr>
          <w:rFonts w:ascii="TimesNewRomanPSMT" w:hAnsi="TimesNewRomanPSMT" w:cs="TimesNewRomanPSMT"/>
          <w:sz w:val="28"/>
          <w:szCs w:val="28"/>
          <w:highlight w:val="cyan"/>
        </w:rPr>
        <w:t>- в рамках международного сотрудничества с Казахстаном продолжить взаимодействие по рассмотрению несогласованных вопросов деятельности Рамочной конвенции по защите морской среды Каспийского моря.</w:t>
      </w:r>
    </w:p>
    <w:p w:rsidR="00281A24" w:rsidRPr="00281A24" w:rsidRDefault="00281A24" w:rsidP="00281A24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1A24">
        <w:rPr>
          <w:b/>
          <w:sz w:val="28"/>
          <w:szCs w:val="28"/>
        </w:rPr>
        <w:t>. Федеральному Собранию Российской Федерации:</w:t>
      </w:r>
    </w:p>
    <w:p w:rsidR="00281A24" w:rsidRPr="00281A24" w:rsidRDefault="00281A24" w:rsidP="00281A2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81A24">
        <w:rPr>
          <w:sz w:val="28"/>
          <w:szCs w:val="28"/>
        </w:rPr>
        <w:t>Ускорить рассмотрение следующих проектов федеральных законов:</w:t>
      </w:r>
    </w:p>
    <w:p w:rsidR="00281A24" w:rsidRDefault="00281A24" w:rsidP="00281A2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1A24">
        <w:rPr>
          <w:sz w:val="28"/>
          <w:szCs w:val="28"/>
        </w:rPr>
        <w:t xml:space="preserve"> № </w:t>
      </w:r>
      <w:r w:rsidRPr="00281A24">
        <w:rPr>
          <w:rFonts w:hint="eastAsia"/>
          <w:sz w:val="28"/>
          <w:szCs w:val="28"/>
        </w:rPr>
        <w:t xml:space="preserve">62502-8 </w:t>
      </w:r>
      <w:r w:rsidRPr="00281A24">
        <w:rPr>
          <w:sz w:val="28"/>
          <w:szCs w:val="28"/>
        </w:rPr>
        <w:t>«О внесении изменений в статью 6 Федерального закона «Об охране озера Байкал»</w:t>
      </w:r>
      <w:r>
        <w:rPr>
          <w:sz w:val="28"/>
          <w:szCs w:val="28"/>
        </w:rPr>
        <w:t xml:space="preserve"> </w:t>
      </w:r>
      <w:r w:rsidRPr="00281A24">
        <w:rPr>
          <w:sz w:val="28"/>
          <w:szCs w:val="28"/>
        </w:rPr>
        <w:t>(в части защиты озера Байкал от загрязнения фосфатсодержащими средствами)</w:t>
      </w:r>
      <w:r>
        <w:rPr>
          <w:sz w:val="28"/>
          <w:szCs w:val="28"/>
        </w:rPr>
        <w:t>;</w:t>
      </w:r>
    </w:p>
    <w:p w:rsidR="00281A24" w:rsidRDefault="00CA4574" w:rsidP="00CA457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574">
        <w:rPr>
          <w:sz w:val="28"/>
          <w:szCs w:val="28"/>
        </w:rPr>
        <w:t>№ 202708-8 «О внесении изменений в отдельные законодательные акты Российской Федерации» (в части создания систем автоматического контроля выбросов загрязняющих</w:t>
      </w:r>
      <w:r>
        <w:rPr>
          <w:sz w:val="28"/>
          <w:szCs w:val="28"/>
        </w:rPr>
        <w:t xml:space="preserve"> </w:t>
      </w:r>
      <w:r w:rsidRPr="00CA4574">
        <w:rPr>
          <w:sz w:val="28"/>
          <w:szCs w:val="28"/>
        </w:rPr>
        <w:t>веществ на квотируемых объектах, а также повышения эффективности государственного экологического контроля (надзора) в отношении таких объектов)</w:t>
      </w:r>
      <w:r>
        <w:rPr>
          <w:sz w:val="28"/>
          <w:szCs w:val="28"/>
        </w:rPr>
        <w:t>;</w:t>
      </w:r>
    </w:p>
    <w:p w:rsidR="00CA4574" w:rsidRDefault="00CA4574" w:rsidP="00CA457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574">
        <w:rPr>
          <w:sz w:val="28"/>
          <w:szCs w:val="28"/>
        </w:rPr>
        <w:t xml:space="preserve">№ 242404-8 «О внесении изменений в Федеральный закон «Об охране окружающей среды» и отдельные законодательные акты Российской Федерации» </w:t>
      </w:r>
      <w:r w:rsidRPr="00C10D45">
        <w:rPr>
          <w:sz w:val="28"/>
          <w:szCs w:val="28"/>
        </w:rPr>
        <w:t xml:space="preserve">(в части </w:t>
      </w:r>
      <w:r>
        <w:rPr>
          <w:sz w:val="28"/>
          <w:szCs w:val="28"/>
        </w:rPr>
        <w:t>совершенствования системы ликвидации накопленного вреда окружающей среды</w:t>
      </w:r>
      <w:r w:rsidRPr="00C10D4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4574" w:rsidRDefault="00CA4574" w:rsidP="00CA457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574">
        <w:rPr>
          <w:sz w:val="28"/>
          <w:szCs w:val="28"/>
        </w:rPr>
        <w:t>№ 247198-8 «О внесении изменений в Федеральный закон «Об охране окружающей среды»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756269">
        <w:rPr>
          <w:sz w:val="28"/>
          <w:szCs w:val="28"/>
        </w:rPr>
        <w:t>(</w:t>
      </w:r>
      <w:r>
        <w:rPr>
          <w:sz w:val="28"/>
          <w:szCs w:val="28"/>
        </w:rPr>
        <w:t>в части создания федеральной государственной информационной системы состояния окружающей среды</w:t>
      </w:r>
      <w:r w:rsidRPr="0075626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4574" w:rsidRDefault="00CA4574" w:rsidP="00CA457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574">
        <w:rPr>
          <w:sz w:val="28"/>
          <w:szCs w:val="28"/>
        </w:rPr>
        <w:t xml:space="preserve">№ 265445-8 «О внесении изменений в Водный кодекс Российской Федерации и статьи 15 и 16 Федерального закона «Об общих принципах организации местного самоуправления в Российской Федерации» </w:t>
      </w:r>
      <w:r w:rsidRPr="00C60B8F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464659">
        <w:rPr>
          <w:sz w:val="28"/>
          <w:szCs w:val="28"/>
        </w:rPr>
        <w:t>целях совершенствования отношений в области использования</w:t>
      </w:r>
      <w:r>
        <w:rPr>
          <w:sz w:val="28"/>
          <w:szCs w:val="28"/>
        </w:rPr>
        <w:t xml:space="preserve"> </w:t>
      </w:r>
      <w:r w:rsidRPr="00464659">
        <w:rPr>
          <w:sz w:val="28"/>
          <w:szCs w:val="28"/>
        </w:rPr>
        <w:t>и охраны водных объектов</w:t>
      </w:r>
      <w:r w:rsidRPr="00C60B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2DA8" w:rsidRPr="00281A24" w:rsidRDefault="00922DA8" w:rsidP="00CA457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B5AFD" w:rsidRPr="0076242D" w:rsidRDefault="00281A24" w:rsidP="00DB5AFD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5AFD">
        <w:rPr>
          <w:b/>
          <w:sz w:val="28"/>
          <w:szCs w:val="28"/>
        </w:rPr>
        <w:t>. </w:t>
      </w:r>
      <w:r w:rsidR="00DB5AFD" w:rsidRPr="0076242D">
        <w:rPr>
          <w:b/>
          <w:sz w:val="28"/>
          <w:szCs w:val="28"/>
        </w:rPr>
        <w:t xml:space="preserve">Министерству природных ресурсов </w:t>
      </w:r>
      <w:r w:rsidR="00922DA8">
        <w:rPr>
          <w:b/>
          <w:sz w:val="28"/>
          <w:szCs w:val="28"/>
        </w:rPr>
        <w:t>и экологии Российской Федерации</w:t>
      </w:r>
    </w:p>
    <w:p w:rsidR="0029223C" w:rsidRDefault="0029223C" w:rsidP="0029223C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D521B">
        <w:rPr>
          <w:b/>
          <w:sz w:val="28"/>
          <w:szCs w:val="28"/>
        </w:rPr>
        <w:t>- </w:t>
      </w:r>
      <w:r w:rsidRPr="00DD521B">
        <w:rPr>
          <w:sz w:val="28"/>
          <w:szCs w:val="28"/>
        </w:rPr>
        <w:t>разработать комплекс мер по сохранению экологического потенциала нерестоохранных полос лесов, а также лесов водоохранных зон;</w:t>
      </w:r>
    </w:p>
    <w:p w:rsidR="00922DA8" w:rsidRDefault="00922DA8" w:rsidP="00281A24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281A24" w:rsidRDefault="00281A24" w:rsidP="00281A24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Федерал</w:t>
      </w:r>
      <w:r w:rsidR="00922DA8">
        <w:rPr>
          <w:b/>
          <w:sz w:val="28"/>
          <w:szCs w:val="28"/>
        </w:rPr>
        <w:t>ьному агентству водных ресурсов</w:t>
      </w:r>
    </w:p>
    <w:p w:rsidR="00922DA8" w:rsidRDefault="00922DA8" w:rsidP="00281A24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281A24" w:rsidRPr="00D44255" w:rsidRDefault="00281A24" w:rsidP="00281A24">
      <w:pPr>
        <w:pStyle w:val="2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44255">
        <w:rPr>
          <w:b/>
          <w:sz w:val="28"/>
          <w:szCs w:val="28"/>
        </w:rPr>
        <w:t xml:space="preserve">Органам государственной власти </w:t>
      </w:r>
      <w:r w:rsidR="00922DA8">
        <w:rPr>
          <w:b/>
          <w:sz w:val="28"/>
          <w:szCs w:val="28"/>
        </w:rPr>
        <w:t>субъектов Российской Федерации</w:t>
      </w:r>
    </w:p>
    <w:p w:rsidR="00781554" w:rsidRDefault="00781554" w:rsidP="00DB5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7B0C" w:rsidRPr="0080028C" w:rsidRDefault="00DB5AFD" w:rsidP="00781554">
      <w:pPr>
        <w:pStyle w:val="a3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32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  <w:r w:rsidRPr="00975732">
        <w:rPr>
          <w:rFonts w:ascii="Times New Roman" w:hAnsi="Times New Roman" w:cs="Times New Roman"/>
          <w:b/>
          <w:sz w:val="28"/>
          <w:szCs w:val="28"/>
        </w:rPr>
        <w:tab/>
      </w:r>
      <w:r w:rsidRPr="00975732">
        <w:rPr>
          <w:rFonts w:ascii="Times New Roman" w:hAnsi="Times New Roman" w:cs="Times New Roman"/>
          <w:b/>
          <w:sz w:val="28"/>
          <w:szCs w:val="28"/>
        </w:rPr>
        <w:tab/>
      </w:r>
      <w:r w:rsidRPr="00975732">
        <w:rPr>
          <w:rFonts w:ascii="Times New Roman" w:hAnsi="Times New Roman" w:cs="Times New Roman"/>
          <w:b/>
          <w:sz w:val="28"/>
          <w:szCs w:val="28"/>
        </w:rPr>
        <w:tab/>
      </w:r>
      <w:r w:rsidRPr="00975732">
        <w:rPr>
          <w:rFonts w:ascii="Times New Roman" w:hAnsi="Times New Roman" w:cs="Times New Roman"/>
          <w:b/>
          <w:sz w:val="28"/>
          <w:szCs w:val="28"/>
        </w:rPr>
        <w:tab/>
      </w:r>
      <w:r w:rsidRPr="009757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5732">
        <w:rPr>
          <w:rFonts w:ascii="Times New Roman" w:hAnsi="Times New Roman" w:cs="Times New Roman"/>
          <w:b/>
          <w:sz w:val="28"/>
          <w:szCs w:val="28"/>
        </w:rPr>
        <w:t xml:space="preserve">   Д.Н.Кобылкин</w:t>
      </w:r>
    </w:p>
    <w:sectPr w:rsidR="007E7B0C" w:rsidRPr="0080028C" w:rsidSect="007815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A68" w:rsidRDefault="006C1A68" w:rsidP="00781554">
      <w:pPr>
        <w:spacing w:after="0" w:line="240" w:lineRule="auto"/>
      </w:pPr>
      <w:r>
        <w:separator/>
      </w:r>
    </w:p>
  </w:endnote>
  <w:endnote w:type="continuationSeparator" w:id="0">
    <w:p w:rsidR="006C1A68" w:rsidRDefault="006C1A68" w:rsidP="0078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A68" w:rsidRDefault="006C1A68" w:rsidP="00781554">
      <w:pPr>
        <w:spacing w:after="0" w:line="240" w:lineRule="auto"/>
      </w:pPr>
      <w:r>
        <w:separator/>
      </w:r>
    </w:p>
  </w:footnote>
  <w:footnote w:type="continuationSeparator" w:id="0">
    <w:p w:rsidR="006C1A68" w:rsidRDefault="006C1A68" w:rsidP="0078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96223"/>
      <w:docPartObj>
        <w:docPartGallery w:val="Page Numbers (Top of Page)"/>
        <w:docPartUnique/>
      </w:docPartObj>
    </w:sdtPr>
    <w:sdtEndPr/>
    <w:sdtContent>
      <w:p w:rsidR="00781554" w:rsidRDefault="007815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41">
          <w:rPr>
            <w:noProof/>
          </w:rPr>
          <w:t>8</w:t>
        </w:r>
        <w:r>
          <w:fldChar w:fldCharType="end"/>
        </w:r>
      </w:p>
    </w:sdtContent>
  </w:sdt>
  <w:p w:rsidR="00781554" w:rsidRDefault="007815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09B"/>
    <w:multiLevelType w:val="hybridMultilevel"/>
    <w:tmpl w:val="872E596C"/>
    <w:lvl w:ilvl="0" w:tplc="66765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7B210E"/>
    <w:multiLevelType w:val="hybridMultilevel"/>
    <w:tmpl w:val="AEAEF2BC"/>
    <w:lvl w:ilvl="0" w:tplc="A85C521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756CB"/>
    <w:multiLevelType w:val="hybridMultilevel"/>
    <w:tmpl w:val="12A4A0BE"/>
    <w:lvl w:ilvl="0" w:tplc="1918F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38039172">
    <w:abstractNumId w:val="0"/>
  </w:num>
  <w:num w:numId="2" w16cid:durableId="844828157">
    <w:abstractNumId w:val="1"/>
  </w:num>
  <w:num w:numId="3" w16cid:durableId="46150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D"/>
    <w:rsid w:val="00111B07"/>
    <w:rsid w:val="001F4580"/>
    <w:rsid w:val="00281A24"/>
    <w:rsid w:val="0029223C"/>
    <w:rsid w:val="003807BC"/>
    <w:rsid w:val="003828F5"/>
    <w:rsid w:val="0044701C"/>
    <w:rsid w:val="004F73E8"/>
    <w:rsid w:val="0053500D"/>
    <w:rsid w:val="005A5C86"/>
    <w:rsid w:val="005C2E49"/>
    <w:rsid w:val="00663302"/>
    <w:rsid w:val="006C1A68"/>
    <w:rsid w:val="00781554"/>
    <w:rsid w:val="007E7B0C"/>
    <w:rsid w:val="0080028C"/>
    <w:rsid w:val="00812A26"/>
    <w:rsid w:val="0084541D"/>
    <w:rsid w:val="008858CC"/>
    <w:rsid w:val="00922DA8"/>
    <w:rsid w:val="00A50873"/>
    <w:rsid w:val="00A73DDC"/>
    <w:rsid w:val="00AD0B67"/>
    <w:rsid w:val="00AF3DC7"/>
    <w:rsid w:val="00BD64E9"/>
    <w:rsid w:val="00C05F9F"/>
    <w:rsid w:val="00C15077"/>
    <w:rsid w:val="00CA4574"/>
    <w:rsid w:val="00D33237"/>
    <w:rsid w:val="00DB5AFD"/>
    <w:rsid w:val="00DD521B"/>
    <w:rsid w:val="00E32666"/>
    <w:rsid w:val="00EB4EFB"/>
    <w:rsid w:val="00F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EBFB-2742-F14A-ACB6-1FD4BB6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AFD"/>
    <w:pPr>
      <w:spacing w:after="160" w:line="259" w:lineRule="auto"/>
    </w:pPr>
  </w:style>
  <w:style w:type="paragraph" w:styleId="1">
    <w:name w:val="heading 1"/>
    <w:next w:val="a"/>
    <w:link w:val="10"/>
    <w:rsid w:val="00CA457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28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B5AFD"/>
  </w:style>
  <w:style w:type="paragraph" w:styleId="a5">
    <w:name w:val="Balloon Text"/>
    <w:basedOn w:val="a"/>
    <w:link w:val="a6"/>
    <w:uiPriority w:val="99"/>
    <w:semiHidden/>
    <w:unhideWhenUsed/>
    <w:rsid w:val="00DB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B5AFD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DB5AFD"/>
  </w:style>
  <w:style w:type="paragraph" w:styleId="2">
    <w:name w:val="Body Text Indent 2"/>
    <w:basedOn w:val="a"/>
    <w:link w:val="20"/>
    <w:rsid w:val="00DB5AF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01C"/>
  </w:style>
  <w:style w:type="paragraph" w:customStyle="1" w:styleId="ConsPlusNormal">
    <w:name w:val="ConsPlusNormal"/>
    <w:rsid w:val="00281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rsid w:val="00CA457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CA457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c">
    <w:name w:val="footer"/>
    <w:basedOn w:val="a"/>
    <w:link w:val="ad"/>
    <w:uiPriority w:val="99"/>
    <w:unhideWhenUsed/>
    <w:rsid w:val="00CA45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d">
    <w:name w:val="Нижний колонтитул Знак"/>
    <w:basedOn w:val="a0"/>
    <w:link w:val="ac"/>
    <w:uiPriority w:val="99"/>
    <w:rsid w:val="00CA457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e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 Знак,single space,ft"/>
    <w:basedOn w:val="a"/>
    <w:link w:val="af"/>
    <w:uiPriority w:val="99"/>
    <w:unhideWhenUsed/>
    <w:rsid w:val="00AF3DC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e"/>
    <w:uiPriority w:val="99"/>
    <w:rsid w:val="00AF3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KashintsevaSS</dc:creator>
  <cp:lastModifiedBy>79163562195</cp:lastModifiedBy>
  <cp:revision>2</cp:revision>
  <dcterms:created xsi:type="dcterms:W3CDTF">2023-04-06T13:57:00Z</dcterms:created>
  <dcterms:modified xsi:type="dcterms:W3CDTF">2023-04-06T13:57:00Z</dcterms:modified>
</cp:coreProperties>
</file>